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98" w:rsidRDefault="00071C33">
      <w:pPr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</w:pPr>
      <w:proofErr w:type="spellStart"/>
      <w:r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  <w:t>Nevývaha</w:t>
      </w:r>
      <w:proofErr w:type="spellEnd"/>
      <w:r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  <w:t xml:space="preserve"> ventilátorů, fréz a její odstranění</w:t>
      </w:r>
    </w:p>
    <w:p w:rsidR="00D058AC" w:rsidRDefault="00D058AC">
      <w:pPr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</w:pPr>
    </w:p>
    <w:p w:rsidR="008A7839" w:rsidRDefault="008A7839">
      <w:r w:rsidRPr="008A7839">
        <w:t>Vyvažování rotorů (</w:t>
      </w:r>
      <w:r>
        <w:t>ventilátorů</w:t>
      </w:r>
      <w:r w:rsidR="003D6FAA">
        <w:t>,</w:t>
      </w:r>
      <w:r w:rsidR="003D6FAA" w:rsidRPr="003D6FAA">
        <w:t xml:space="preserve"> </w:t>
      </w:r>
      <w:r w:rsidR="003D6FAA">
        <w:t xml:space="preserve">rotačních fréz, </w:t>
      </w:r>
      <w:proofErr w:type="spellStart"/>
      <w:r w:rsidR="003D6FAA">
        <w:t>mulčovačů</w:t>
      </w:r>
      <w:proofErr w:type="spellEnd"/>
      <w:r w:rsidR="003D6FAA">
        <w:t>, silničních fréz</w:t>
      </w:r>
      <w:r w:rsidRPr="008A7839">
        <w:t xml:space="preserve"> a obecně rotačních součástí) se provádí za účelem odstranění nerovnováhy rotujících částí způsobující vibrace při chodu strojních zařízení a zbytečnou zátěž ložisek. Samotné vyvažování se potom provádí přidáváním materiálu (závaží ve vyvažovacích rovinách, přivařený materiál apod.), nebo jeho odebíráním</w:t>
      </w:r>
      <w:r>
        <w:t xml:space="preserve"> (odvrtáváním, broušením apod.)</w:t>
      </w:r>
    </w:p>
    <w:p w:rsidR="003D6FAA" w:rsidRDefault="003D6FAA" w:rsidP="003D6FAA">
      <w:proofErr w:type="spellStart"/>
      <w:r>
        <w:t>Nevývaha</w:t>
      </w:r>
      <w:proofErr w:type="spellEnd"/>
      <w:r>
        <w:t xml:space="preserve"> je způsobena </w:t>
      </w:r>
    </w:p>
    <w:p w:rsidR="003D6FAA" w:rsidRDefault="003D6FAA" w:rsidP="003D6FAA">
      <w:pPr>
        <w:pStyle w:val="Odstavecseseznamem"/>
        <w:numPr>
          <w:ilvl w:val="0"/>
          <w:numId w:val="1"/>
        </w:numPr>
      </w:pPr>
      <w:r>
        <w:t>Znečištěním,</w:t>
      </w:r>
    </w:p>
    <w:p w:rsidR="003D6FAA" w:rsidRDefault="003D6FAA" w:rsidP="003D6FAA">
      <w:pPr>
        <w:pStyle w:val="Odstavecseseznamem"/>
        <w:numPr>
          <w:ilvl w:val="0"/>
          <w:numId w:val="1"/>
        </w:numPr>
      </w:pPr>
      <w:r>
        <w:t>Abrazí,</w:t>
      </w:r>
    </w:p>
    <w:p w:rsidR="003D6FAA" w:rsidRDefault="003D6FAA" w:rsidP="003D6FAA">
      <w:pPr>
        <w:pStyle w:val="Odstavecseseznamem"/>
        <w:numPr>
          <w:ilvl w:val="0"/>
          <w:numId w:val="1"/>
        </w:numPr>
      </w:pPr>
      <w:r>
        <w:t>Mechanickým poškozením,</w:t>
      </w:r>
    </w:p>
    <w:p w:rsidR="003D6FAA" w:rsidRDefault="003D6FAA" w:rsidP="003D6FAA">
      <w:pPr>
        <w:pStyle w:val="Odstavecseseznamem"/>
        <w:numPr>
          <w:ilvl w:val="0"/>
          <w:numId w:val="1"/>
        </w:numPr>
      </w:pPr>
      <w:r>
        <w:t>…</w:t>
      </w:r>
    </w:p>
    <w:p w:rsidR="007F6ECD" w:rsidRDefault="007F6ECD" w:rsidP="007F6ECD">
      <w:r>
        <w:t xml:space="preserve">Obecně lze </w:t>
      </w:r>
      <w:proofErr w:type="gramStart"/>
      <w:r>
        <w:t>říci pokud</w:t>
      </w:r>
      <w:proofErr w:type="gramEnd"/>
      <w:r>
        <w:t xml:space="preserve"> stroj dojde do stavu práce s </w:t>
      </w:r>
      <w:proofErr w:type="spellStart"/>
      <w:r>
        <w:t>nevývahou</w:t>
      </w:r>
      <w:proofErr w:type="spellEnd"/>
      <w:r>
        <w:t xml:space="preserve"> a periodicky se nesleduje, může dojít k poškození ložisek a až destrukci ventilátoru či frézy. </w:t>
      </w:r>
    </w:p>
    <w:p w:rsidR="003D6B6D" w:rsidRDefault="003D6B6D" w:rsidP="003D6FAA">
      <w:r>
        <w:t>Samotné bezdemontážní</w:t>
      </w:r>
      <w:r w:rsidR="003D6FAA">
        <w:t xml:space="preserve"> vyvážení</w:t>
      </w:r>
      <w:r>
        <w:t xml:space="preserve"> prováděné ESOS Ostrava, </w:t>
      </w:r>
      <w:proofErr w:type="spellStart"/>
      <w:r>
        <w:t>s..</w:t>
      </w:r>
      <w:proofErr w:type="gramStart"/>
      <w:r>
        <w:t>ro</w:t>
      </w:r>
      <w:proofErr w:type="spellEnd"/>
      <w:r>
        <w:t>.  trvá</w:t>
      </w:r>
      <w:proofErr w:type="gramEnd"/>
      <w:r>
        <w:t xml:space="preserve"> pouze  cca 3 hodiny</w:t>
      </w:r>
      <w:r w:rsidR="00747946">
        <w:t xml:space="preserve"> přímo na místě umístění ventilátoru či místě práce frézy, </w:t>
      </w:r>
      <w:proofErr w:type="spellStart"/>
      <w:r w:rsidR="00747946">
        <w:t>mulčovače</w:t>
      </w:r>
      <w:proofErr w:type="spellEnd"/>
      <w:r w:rsidR="00747946">
        <w:t>,…</w:t>
      </w:r>
      <w:r>
        <w:t xml:space="preserve">. </w:t>
      </w:r>
      <w:r w:rsidR="00E37B73" w:rsidRPr="008A7839">
        <w:t>Samotné vyvažování se potom provádí přidáváním materiálu (závaží ve vyvažovacích rovinách, přivařený materiál apod.), nebo jeho odebíráním</w:t>
      </w:r>
      <w:r w:rsidR="00E37B73">
        <w:t xml:space="preserve"> (odvrtáváním, broušením apod.) </w:t>
      </w:r>
    </w:p>
    <w:p w:rsidR="007F6ECD" w:rsidRDefault="003D6B6D" w:rsidP="003D6FAA">
      <w:r>
        <w:t>N</w:t>
      </w:r>
      <w:r w:rsidR="003D6FAA">
        <w:t xml:space="preserve">ení nutno ventilátor či rotační </w:t>
      </w:r>
      <w:proofErr w:type="gramStart"/>
      <w:r w:rsidR="003D6FAA">
        <w:t>součást  demontovat</w:t>
      </w:r>
      <w:proofErr w:type="gramEnd"/>
      <w:r w:rsidR="003D6FAA">
        <w:t xml:space="preserve"> a odvážet mimo výrobní závod na vyvážení na stolici a následně jej opět montovat zpět. Tento úkon trvá v rozmezí 2-5 pracovních dnů. </w:t>
      </w:r>
      <w:r w:rsidR="007F6ECD">
        <w:t xml:space="preserve">Společně s odstraněním </w:t>
      </w:r>
      <w:proofErr w:type="spellStart"/>
      <w:r w:rsidR="007F6ECD">
        <w:t>nevývahy</w:t>
      </w:r>
      <w:proofErr w:type="spellEnd"/>
      <w:r w:rsidR="007F6ECD">
        <w:t xml:space="preserve"> získáte i informace o stavu ložisek, mazání, proudové problémech motoru, ustavení, ukotvení,…</w:t>
      </w:r>
    </w:p>
    <w:p w:rsidR="003D6FAA" w:rsidRDefault="003D6FAA" w:rsidP="003D6FAA">
      <w:r>
        <w:t xml:space="preserve">Úsporu při vyvažování se společností ESOS Ostrava s.r.o. lze tedy vyčíslit v řádech </w:t>
      </w:r>
      <w:r w:rsidR="00747946">
        <w:t xml:space="preserve">mnoha desítek až </w:t>
      </w:r>
      <w:r>
        <w:t>sta tisíců korun</w:t>
      </w:r>
      <w:r w:rsidR="00747946">
        <w:t xml:space="preserve"> zejména za ztráty z výroby, poškození ložisek, ventilátoru, bezpečnost </w:t>
      </w:r>
      <w:proofErr w:type="gramStart"/>
      <w:r w:rsidR="00747946">
        <w:t>práce,..</w:t>
      </w:r>
      <w:r>
        <w:t>.</w:t>
      </w:r>
      <w:proofErr w:type="gramEnd"/>
    </w:p>
    <w:p w:rsidR="003D6FAA" w:rsidRDefault="003D6FAA"/>
    <w:p w:rsidR="008A7839" w:rsidRPr="00C519E0" w:rsidRDefault="00E37B73">
      <w:pPr>
        <w:rPr>
          <w:b/>
        </w:rPr>
      </w:pPr>
      <w:r>
        <w:rPr>
          <w:b/>
        </w:rPr>
        <w:t xml:space="preserve">Příklad 1 </w:t>
      </w:r>
      <w:proofErr w:type="spellStart"/>
      <w:r>
        <w:rPr>
          <w:b/>
        </w:rPr>
        <w:t>odstranněí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nevývahy</w:t>
      </w:r>
      <w:proofErr w:type="spellEnd"/>
      <w:r>
        <w:rPr>
          <w:b/>
        </w:rPr>
        <w:t xml:space="preserve"> ventilátorů způsobené abrazí</w:t>
      </w:r>
    </w:p>
    <w:p w:rsidR="00775D77" w:rsidRDefault="008A7839">
      <w:r>
        <w:t>Zákazník nás zavolal kvů</w:t>
      </w:r>
      <w:r w:rsidR="00747946">
        <w:t>li vibracím na 3 ventilátorech.</w:t>
      </w:r>
      <w:r w:rsidR="00A271A8">
        <w:t xml:space="preserve"> </w:t>
      </w:r>
      <w:r>
        <w:t>Zákazník před měřením nechal ventilátory vyčistit. Na místě měření</w:t>
      </w:r>
      <w:r w:rsidR="00747946">
        <w:t>m</w:t>
      </w:r>
      <w:r>
        <w:t xml:space="preserve"> vibrací </w:t>
      </w:r>
      <w:r w:rsidR="00747946">
        <w:t xml:space="preserve">byla zjištěna </w:t>
      </w:r>
      <w:proofErr w:type="spellStart"/>
      <w:r w:rsidR="00747946">
        <w:t>nevý</w:t>
      </w:r>
      <w:r>
        <w:t>v</w:t>
      </w:r>
      <w:r w:rsidR="00747946">
        <w:t>a</w:t>
      </w:r>
      <w:r>
        <w:t>ha</w:t>
      </w:r>
      <w:proofErr w:type="spellEnd"/>
      <w:r>
        <w:t xml:space="preserve"> všech 3 ventilátorů. Po </w:t>
      </w:r>
      <w:r w:rsidR="00A271A8">
        <w:t>domluvě proběhlo</w:t>
      </w:r>
      <w:r>
        <w:t xml:space="preserve"> ihned na místě vyvážení 2 </w:t>
      </w:r>
      <w:r w:rsidR="00A271A8">
        <w:t>ventilátorů a třetího</w:t>
      </w:r>
      <w:r>
        <w:t xml:space="preserve"> pak následující den</w:t>
      </w:r>
      <w:r w:rsidR="00775D77">
        <w:t xml:space="preserve">. </w:t>
      </w:r>
      <w:proofErr w:type="spellStart"/>
      <w:r w:rsidR="00747946">
        <w:t>Nevývaha</w:t>
      </w:r>
      <w:proofErr w:type="spellEnd"/>
      <w:r w:rsidR="00747946">
        <w:t xml:space="preserve"> byla způsobena abrazí. </w:t>
      </w:r>
      <w:r w:rsidR="00775D77">
        <w:t>Díky vyvážení ventilátorů poklesly vibrace</w:t>
      </w:r>
      <w:r w:rsidR="00747946">
        <w:t xml:space="preserve"> na provozní stav.</w:t>
      </w:r>
      <w:r w:rsidR="00775D77">
        <w:t xml:space="preserve"> </w:t>
      </w:r>
    </w:p>
    <w:p w:rsidR="00775D77" w:rsidRPr="00C519E0" w:rsidRDefault="00775D77" w:rsidP="00C519E0">
      <w:pPr>
        <w:pStyle w:val="Bezmezer"/>
        <w:rPr>
          <w:rFonts w:ascii="Arial" w:hAnsi="Arial" w:cs="Arial"/>
          <w:b/>
          <w:sz w:val="20"/>
          <w:szCs w:val="20"/>
        </w:rPr>
      </w:pPr>
      <w:r w:rsidRPr="00C519E0">
        <w:rPr>
          <w:rFonts w:ascii="Arial" w:hAnsi="Arial" w:cs="Arial"/>
          <w:b/>
          <w:sz w:val="20"/>
          <w:szCs w:val="20"/>
        </w:rPr>
        <w:t>Ventilátor – IR PEC 352 – PŘED VYVÁŽENÍM</w:t>
      </w:r>
    </w:p>
    <w:tbl>
      <w:tblPr>
        <w:tblW w:w="9485" w:type="dxa"/>
        <w:tblInd w:w="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1977"/>
        <w:gridCol w:w="2031"/>
        <w:gridCol w:w="2023"/>
      </w:tblGrid>
      <w:tr w:rsidR="00775D77" w:rsidRPr="00C519E0" w:rsidTr="00C519E0">
        <w:trPr>
          <w:cantSplit/>
          <w:trHeight w:val="366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775D77" w:rsidRPr="00C519E0" w:rsidRDefault="00775D77" w:rsidP="00C519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19E0">
              <w:rPr>
                <w:rFonts w:ascii="Arial" w:hAnsi="Arial" w:cs="Arial"/>
                <w:sz w:val="20"/>
                <w:szCs w:val="20"/>
              </w:rPr>
              <w:t>měřící body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519E0">
              <w:rPr>
                <w:rFonts w:ascii="Arial" w:hAnsi="Arial" w:cs="Arial"/>
                <w:sz w:val="20"/>
                <w:szCs w:val="20"/>
                <w:lang w:eastAsia="cs-CZ"/>
              </w:rPr>
              <w:t>rychlost vibrací RMS dle ČSN 122011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519E0">
              <w:rPr>
                <w:rFonts w:ascii="Arial" w:hAnsi="Arial" w:cs="Arial"/>
                <w:sz w:val="20"/>
                <w:szCs w:val="20"/>
                <w:lang w:eastAsia="cs-CZ"/>
              </w:rPr>
              <w:t>Ložiska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519E0">
              <w:rPr>
                <w:rFonts w:ascii="Arial" w:hAnsi="Arial" w:cs="Arial"/>
                <w:sz w:val="20"/>
                <w:szCs w:val="20"/>
                <w:lang w:eastAsia="cs-CZ"/>
              </w:rPr>
              <w:t>Mazání</w:t>
            </w:r>
          </w:p>
        </w:tc>
      </w:tr>
      <w:tr w:rsidR="00775D77" w:rsidRPr="00C519E0" w:rsidTr="00C519E0">
        <w:trPr>
          <w:cantSplit/>
          <w:trHeight w:val="263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:rsidR="00775D77" w:rsidRPr="00C519E0" w:rsidRDefault="00775D77" w:rsidP="00C519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19E0">
              <w:rPr>
                <w:rFonts w:ascii="Arial" w:hAnsi="Arial" w:cs="Arial"/>
                <w:sz w:val="20"/>
                <w:szCs w:val="20"/>
              </w:rPr>
              <w:t xml:space="preserve">1 - elektromotor - volný konec 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6699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9E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19E0">
              <w:rPr>
                <w:rFonts w:ascii="Arial" w:hAnsi="Arial" w:cs="Arial"/>
                <w:bCs/>
                <w:sz w:val="20"/>
                <w:szCs w:val="20"/>
              </w:rPr>
              <w:t>Provozní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19E0">
              <w:rPr>
                <w:rFonts w:ascii="Arial" w:hAnsi="Arial" w:cs="Arial"/>
                <w:bCs/>
                <w:sz w:val="20"/>
                <w:szCs w:val="20"/>
              </w:rPr>
              <w:t>Provozní</w:t>
            </w:r>
          </w:p>
        </w:tc>
      </w:tr>
      <w:tr w:rsidR="00775D77" w:rsidRPr="00C519E0" w:rsidTr="00C519E0">
        <w:trPr>
          <w:cantSplit/>
          <w:trHeight w:val="253"/>
        </w:trPr>
        <w:tc>
          <w:tcPr>
            <w:tcW w:w="3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775D77" w:rsidRPr="00C519E0" w:rsidRDefault="00775D77" w:rsidP="00C519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19E0">
              <w:rPr>
                <w:rFonts w:ascii="Arial" w:hAnsi="Arial" w:cs="Arial"/>
                <w:sz w:val="20"/>
                <w:szCs w:val="20"/>
              </w:rPr>
              <w:t>2 - elektromotor - u oběžného kola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6699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9E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19E0">
              <w:rPr>
                <w:rFonts w:ascii="Arial" w:hAnsi="Arial" w:cs="Arial"/>
                <w:bCs/>
                <w:sz w:val="20"/>
                <w:szCs w:val="20"/>
              </w:rPr>
              <w:t>Provozní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19E0">
              <w:rPr>
                <w:rFonts w:ascii="Arial" w:hAnsi="Arial" w:cs="Arial"/>
                <w:bCs/>
                <w:sz w:val="20"/>
                <w:szCs w:val="20"/>
              </w:rPr>
              <w:t>Provozní</w:t>
            </w:r>
          </w:p>
        </w:tc>
      </w:tr>
    </w:tbl>
    <w:p w:rsidR="00775D77" w:rsidRPr="00EB6899" w:rsidRDefault="00775D77" w:rsidP="00C519E0">
      <w:pPr>
        <w:pStyle w:val="Bezmezer"/>
        <w:rPr>
          <w:rFonts w:ascii="Arial" w:hAnsi="Arial" w:cs="Arial"/>
          <w:b/>
          <w:sz w:val="20"/>
          <w:szCs w:val="20"/>
        </w:rPr>
      </w:pPr>
      <w:r w:rsidRPr="00EB6899">
        <w:rPr>
          <w:rFonts w:ascii="Arial" w:hAnsi="Arial" w:cs="Arial"/>
          <w:b/>
          <w:sz w:val="20"/>
          <w:szCs w:val="20"/>
        </w:rPr>
        <w:t>Celkové hodnoty rychlosti vibrací řadí chod zařízení dle příslušné normy ČSN do pásma D.</w:t>
      </w:r>
    </w:p>
    <w:p w:rsidR="00775D77" w:rsidRPr="00EB6899" w:rsidRDefault="00775D77" w:rsidP="00C519E0">
      <w:pPr>
        <w:pStyle w:val="Bezmezer"/>
        <w:rPr>
          <w:rFonts w:ascii="Arial" w:hAnsi="Arial" w:cs="Arial"/>
          <w:b/>
          <w:sz w:val="20"/>
          <w:szCs w:val="20"/>
        </w:rPr>
      </w:pPr>
      <w:r w:rsidRPr="00EB6899">
        <w:rPr>
          <w:rFonts w:ascii="Arial" w:hAnsi="Arial" w:cs="Arial"/>
          <w:b/>
          <w:sz w:val="20"/>
          <w:szCs w:val="20"/>
        </w:rPr>
        <w:t xml:space="preserve">Spektra FFT rychlosti s detekcí </w:t>
      </w:r>
      <w:proofErr w:type="spellStart"/>
      <w:r w:rsidRPr="00EB6899">
        <w:rPr>
          <w:rFonts w:ascii="Arial" w:hAnsi="Arial" w:cs="Arial"/>
          <w:b/>
          <w:sz w:val="20"/>
          <w:szCs w:val="20"/>
        </w:rPr>
        <w:t>nevývahy</w:t>
      </w:r>
      <w:proofErr w:type="spellEnd"/>
      <w:r w:rsidRPr="00EB6899">
        <w:rPr>
          <w:rFonts w:ascii="Arial" w:hAnsi="Arial" w:cs="Arial"/>
          <w:b/>
          <w:sz w:val="20"/>
          <w:szCs w:val="20"/>
        </w:rPr>
        <w:t xml:space="preserve"> oběžného kola.</w:t>
      </w:r>
    </w:p>
    <w:p w:rsidR="00775D77" w:rsidRDefault="00775D77" w:rsidP="00DB0832">
      <w:pPr>
        <w:pStyle w:val="Bezmezer"/>
        <w:rPr>
          <w:rFonts w:ascii="Arial" w:hAnsi="Arial" w:cs="Arial"/>
          <w:sz w:val="20"/>
          <w:szCs w:val="20"/>
        </w:rPr>
      </w:pPr>
      <w:r w:rsidRPr="00C519E0">
        <w:rPr>
          <w:rFonts w:ascii="Arial" w:hAnsi="Arial" w:cs="Arial"/>
          <w:sz w:val="20"/>
          <w:szCs w:val="20"/>
        </w:rPr>
        <w:t xml:space="preserve">Spektra zrychlení a zrychlení SE bez detekce amplitudových složek na </w:t>
      </w:r>
      <w:r w:rsidR="00DB0832">
        <w:rPr>
          <w:rFonts w:ascii="Arial" w:hAnsi="Arial" w:cs="Arial"/>
          <w:sz w:val="20"/>
          <w:szCs w:val="20"/>
        </w:rPr>
        <w:t xml:space="preserve">poruchové ložiskové frekvenci. </w:t>
      </w:r>
    </w:p>
    <w:p w:rsidR="00DB0832" w:rsidRPr="00DB0832" w:rsidRDefault="00DB0832" w:rsidP="00DB0832">
      <w:pPr>
        <w:pStyle w:val="Bezmezer"/>
        <w:rPr>
          <w:rFonts w:ascii="Arial" w:hAnsi="Arial" w:cs="Arial"/>
          <w:sz w:val="20"/>
          <w:szCs w:val="20"/>
        </w:rPr>
      </w:pPr>
    </w:p>
    <w:p w:rsidR="00775D77" w:rsidRPr="00C519E0" w:rsidRDefault="00775D77" w:rsidP="00C519E0">
      <w:pPr>
        <w:pStyle w:val="Bezmezer"/>
        <w:rPr>
          <w:rFonts w:ascii="Arial" w:hAnsi="Arial" w:cs="Arial"/>
          <w:b/>
          <w:sz w:val="20"/>
          <w:szCs w:val="20"/>
        </w:rPr>
      </w:pPr>
      <w:r w:rsidRPr="00C519E0">
        <w:rPr>
          <w:rFonts w:ascii="Arial" w:hAnsi="Arial" w:cs="Arial"/>
          <w:b/>
          <w:sz w:val="20"/>
          <w:szCs w:val="20"/>
        </w:rPr>
        <w:t>Ventilátor – IR PEC 352 – PO VYVÁŽENÍ</w:t>
      </w:r>
    </w:p>
    <w:tbl>
      <w:tblPr>
        <w:tblW w:w="9473" w:type="dxa"/>
        <w:tblInd w:w="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1973"/>
        <w:gridCol w:w="2029"/>
        <w:gridCol w:w="2021"/>
      </w:tblGrid>
      <w:tr w:rsidR="00775D77" w:rsidRPr="00C519E0" w:rsidTr="00C519E0">
        <w:trPr>
          <w:cantSplit/>
          <w:trHeight w:val="568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775D77" w:rsidRPr="00C519E0" w:rsidRDefault="00775D77" w:rsidP="00C519E0">
            <w:pPr>
              <w:pStyle w:val="Bezmezer"/>
              <w:rPr>
                <w:rFonts w:ascii="Arial" w:hAnsi="Arial" w:cs="Arial"/>
                <w:iCs/>
                <w:sz w:val="20"/>
                <w:szCs w:val="20"/>
              </w:rPr>
            </w:pPr>
            <w:r w:rsidRPr="00C519E0">
              <w:rPr>
                <w:rFonts w:ascii="Arial" w:hAnsi="Arial" w:cs="Arial"/>
                <w:iCs/>
                <w:sz w:val="20"/>
                <w:szCs w:val="20"/>
              </w:rPr>
              <w:t>měřící body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519E0">
              <w:rPr>
                <w:rFonts w:ascii="Arial" w:hAnsi="Arial" w:cs="Arial"/>
                <w:sz w:val="20"/>
                <w:szCs w:val="20"/>
                <w:lang w:eastAsia="cs-CZ"/>
              </w:rPr>
              <w:t>rychlost vibrací RMS dle ČSN 122011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519E0">
              <w:rPr>
                <w:rFonts w:ascii="Arial" w:hAnsi="Arial" w:cs="Arial"/>
                <w:sz w:val="20"/>
                <w:szCs w:val="20"/>
                <w:lang w:eastAsia="cs-CZ"/>
              </w:rPr>
              <w:t>Ložiska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519E0">
              <w:rPr>
                <w:rFonts w:ascii="Arial" w:hAnsi="Arial" w:cs="Arial"/>
                <w:sz w:val="20"/>
                <w:szCs w:val="20"/>
                <w:lang w:eastAsia="cs-CZ"/>
              </w:rPr>
              <w:t>Mazání</w:t>
            </w:r>
          </w:p>
        </w:tc>
      </w:tr>
      <w:tr w:rsidR="00775D77" w:rsidRPr="00C519E0" w:rsidTr="00C519E0">
        <w:trPr>
          <w:cantSplit/>
          <w:trHeight w:val="284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:rsidR="00775D77" w:rsidRPr="00C519E0" w:rsidRDefault="00775D77" w:rsidP="00C519E0">
            <w:pPr>
              <w:pStyle w:val="Bezmezer"/>
              <w:rPr>
                <w:rFonts w:ascii="Arial" w:hAnsi="Arial" w:cs="Arial"/>
                <w:iCs/>
                <w:sz w:val="20"/>
                <w:szCs w:val="20"/>
              </w:rPr>
            </w:pPr>
            <w:r w:rsidRPr="00C519E0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1 - elektromotor - volný konec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9E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19E0">
              <w:rPr>
                <w:rFonts w:ascii="Arial" w:hAnsi="Arial" w:cs="Arial"/>
                <w:iCs/>
                <w:sz w:val="20"/>
                <w:szCs w:val="20"/>
              </w:rPr>
              <w:t>Provozní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19E0">
              <w:rPr>
                <w:rFonts w:ascii="Arial" w:hAnsi="Arial" w:cs="Arial"/>
                <w:iCs/>
                <w:sz w:val="20"/>
                <w:szCs w:val="20"/>
              </w:rPr>
              <w:t>Provozní</w:t>
            </w:r>
          </w:p>
        </w:tc>
      </w:tr>
      <w:tr w:rsidR="00775D77" w:rsidRPr="00C519E0" w:rsidTr="00C519E0">
        <w:trPr>
          <w:cantSplit/>
          <w:trHeight w:val="284"/>
        </w:trPr>
        <w:tc>
          <w:tcPr>
            <w:tcW w:w="34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775D77" w:rsidRPr="00C519E0" w:rsidRDefault="00775D77" w:rsidP="00C519E0">
            <w:pPr>
              <w:pStyle w:val="Bezmezer"/>
              <w:rPr>
                <w:rFonts w:ascii="Arial" w:hAnsi="Arial" w:cs="Arial"/>
                <w:iCs/>
                <w:sz w:val="20"/>
                <w:szCs w:val="20"/>
              </w:rPr>
            </w:pPr>
            <w:r w:rsidRPr="00C519E0">
              <w:rPr>
                <w:rFonts w:ascii="Arial" w:hAnsi="Arial" w:cs="Arial"/>
                <w:iCs/>
                <w:sz w:val="20"/>
                <w:szCs w:val="20"/>
              </w:rPr>
              <w:t>2 - elektromotor - u oběžného kola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9E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19E0">
              <w:rPr>
                <w:rFonts w:ascii="Arial" w:hAnsi="Arial" w:cs="Arial"/>
                <w:iCs/>
                <w:sz w:val="20"/>
                <w:szCs w:val="20"/>
              </w:rPr>
              <w:t>Provozní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75D77" w:rsidRPr="00C519E0" w:rsidRDefault="00775D77" w:rsidP="00C519E0">
            <w:pPr>
              <w:pStyle w:val="Bezmezer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19E0">
              <w:rPr>
                <w:rFonts w:ascii="Arial" w:hAnsi="Arial" w:cs="Arial"/>
                <w:iCs/>
                <w:sz w:val="20"/>
                <w:szCs w:val="20"/>
              </w:rPr>
              <w:t>Provozní</w:t>
            </w:r>
          </w:p>
        </w:tc>
      </w:tr>
    </w:tbl>
    <w:p w:rsidR="00775D77" w:rsidRPr="00C519E0" w:rsidRDefault="00775D77" w:rsidP="00C519E0">
      <w:pPr>
        <w:pStyle w:val="Bezmezer"/>
        <w:rPr>
          <w:rFonts w:ascii="Arial" w:hAnsi="Arial" w:cs="Arial"/>
          <w:sz w:val="20"/>
          <w:szCs w:val="20"/>
        </w:rPr>
      </w:pPr>
      <w:r w:rsidRPr="00C519E0">
        <w:rPr>
          <w:rFonts w:ascii="Arial" w:hAnsi="Arial" w:cs="Arial"/>
          <w:sz w:val="20"/>
          <w:szCs w:val="20"/>
        </w:rPr>
        <w:t>Celkové hodnoty rychlosti vibrací řadí chod zařízení dle příslušné normy ČSN do pásma A/B.</w:t>
      </w:r>
    </w:p>
    <w:p w:rsidR="00775D77" w:rsidRPr="00C519E0" w:rsidRDefault="00775D77" w:rsidP="00C519E0">
      <w:pPr>
        <w:pStyle w:val="Bezmezer"/>
        <w:rPr>
          <w:rFonts w:ascii="Arial" w:hAnsi="Arial" w:cs="Arial"/>
          <w:sz w:val="20"/>
          <w:szCs w:val="20"/>
        </w:rPr>
      </w:pPr>
      <w:r w:rsidRPr="00C519E0">
        <w:rPr>
          <w:rFonts w:ascii="Arial" w:hAnsi="Arial" w:cs="Arial"/>
          <w:sz w:val="20"/>
          <w:szCs w:val="20"/>
        </w:rPr>
        <w:t xml:space="preserve">Spektra FFT rychlosti bez detekce výrazných nízkofrekvenčních vlivů jako je </w:t>
      </w:r>
      <w:proofErr w:type="spellStart"/>
      <w:r w:rsidRPr="00C519E0">
        <w:rPr>
          <w:rFonts w:ascii="Arial" w:hAnsi="Arial" w:cs="Arial"/>
          <w:sz w:val="20"/>
          <w:szCs w:val="20"/>
        </w:rPr>
        <w:t>nevývaha</w:t>
      </w:r>
      <w:proofErr w:type="spellEnd"/>
      <w:r w:rsidRPr="00C519E0">
        <w:rPr>
          <w:rFonts w:ascii="Arial" w:hAnsi="Arial" w:cs="Arial"/>
          <w:sz w:val="20"/>
          <w:szCs w:val="20"/>
        </w:rPr>
        <w:t xml:space="preserve"> apod.</w:t>
      </w:r>
    </w:p>
    <w:p w:rsidR="00775D77" w:rsidRPr="00C519E0" w:rsidRDefault="00775D77" w:rsidP="00C519E0">
      <w:pPr>
        <w:pStyle w:val="Bezmezer"/>
        <w:rPr>
          <w:rFonts w:ascii="Arial" w:hAnsi="Arial" w:cs="Arial"/>
          <w:sz w:val="20"/>
          <w:szCs w:val="20"/>
        </w:rPr>
      </w:pPr>
      <w:r w:rsidRPr="00C519E0">
        <w:rPr>
          <w:rFonts w:ascii="Arial" w:hAnsi="Arial" w:cs="Arial"/>
          <w:sz w:val="20"/>
          <w:szCs w:val="20"/>
        </w:rPr>
        <w:t xml:space="preserve">Spektra zrychlení a zrychlení SE bez detekce amplitudových složek na poruchové ložiskové frekvenci. </w:t>
      </w:r>
    </w:p>
    <w:p w:rsidR="00775D77" w:rsidRPr="00C519E0" w:rsidRDefault="00775D77" w:rsidP="00C519E0">
      <w:pPr>
        <w:pStyle w:val="Bezmezer"/>
        <w:rPr>
          <w:rFonts w:ascii="Arial" w:hAnsi="Arial" w:cs="Arial"/>
          <w:bCs/>
          <w:sz w:val="20"/>
          <w:szCs w:val="20"/>
        </w:rPr>
      </w:pPr>
    </w:p>
    <w:p w:rsidR="00877C98" w:rsidRDefault="00877C98"/>
    <w:p w:rsidR="00C519E0" w:rsidRPr="00C519E0" w:rsidRDefault="00E37B73">
      <w:pPr>
        <w:rPr>
          <w:b/>
        </w:rPr>
      </w:pPr>
      <w:r>
        <w:rPr>
          <w:b/>
        </w:rPr>
        <w:t xml:space="preserve">Příklad 2 odstranění </w:t>
      </w:r>
      <w:proofErr w:type="spellStart"/>
      <w:r>
        <w:rPr>
          <w:b/>
        </w:rPr>
        <w:t>nevývahy</w:t>
      </w:r>
      <w:proofErr w:type="spellEnd"/>
      <w:r>
        <w:rPr>
          <w:b/>
        </w:rPr>
        <w:t xml:space="preserve"> očištěním ventilátoru</w:t>
      </w:r>
    </w:p>
    <w:p w:rsidR="00C519E0" w:rsidRDefault="00C519E0">
      <w:r>
        <w:t xml:space="preserve">Při pravidelném pochůzkovém měření u zákazníka zjištěna </w:t>
      </w:r>
      <w:proofErr w:type="spellStart"/>
      <w:r w:rsidR="007F6ECD">
        <w:t>nevývaha</w:t>
      </w:r>
      <w:proofErr w:type="spellEnd"/>
      <w:r>
        <w:t xml:space="preserve"> oběžného kola</w:t>
      </w:r>
      <w:r w:rsidR="00DF32E6">
        <w:t xml:space="preserve"> jednoho z měřených ventilátorů. Doporučeno bylo vyčištění oběžného kola ventilátoru a následné kontrolní měření vibrací popřípadě </w:t>
      </w:r>
      <w:proofErr w:type="spellStart"/>
      <w:r w:rsidR="00DF32E6">
        <w:t>dovyvážení</w:t>
      </w:r>
      <w:proofErr w:type="spellEnd"/>
      <w:r w:rsidR="00DF32E6">
        <w:t xml:space="preserve"> pokud bude potřeba. Zákazník na naše doporučení provedl vyčištění oběžného kola ventilátoru a následně j</w:t>
      </w:r>
      <w:r w:rsidR="00EB6899">
        <w:t>s</w:t>
      </w:r>
      <w:r w:rsidR="00DF32E6">
        <w:t xml:space="preserve">me přijeli na kontrolní měření i s výbavou pro vyvažování. Při kontrolním měření zjištěno že vyvažování není potřeba a očištění oběžného kola stačilo na eliminaci </w:t>
      </w:r>
      <w:proofErr w:type="spellStart"/>
      <w:proofErr w:type="gramStart"/>
      <w:r w:rsidR="007F6ECD">
        <w:t>nevývahy</w:t>
      </w:r>
      <w:proofErr w:type="spellEnd"/>
      <w:r w:rsidR="007F6ECD">
        <w:t>,  tzn.</w:t>
      </w:r>
      <w:proofErr w:type="gramEnd"/>
      <w:r w:rsidR="007F6ECD">
        <w:t xml:space="preserve"> </w:t>
      </w:r>
      <w:proofErr w:type="spellStart"/>
      <w:r w:rsidR="007F6ECD">
        <w:t>nevýva</w:t>
      </w:r>
      <w:r w:rsidR="00DF32E6">
        <w:t>hu</w:t>
      </w:r>
      <w:proofErr w:type="spellEnd"/>
      <w:r w:rsidR="00DF32E6">
        <w:t xml:space="preserve"> způsobovaly jen </w:t>
      </w:r>
      <w:r w:rsidR="007F6ECD">
        <w:t xml:space="preserve">nálepy </w:t>
      </w:r>
      <w:r w:rsidR="00DF32E6">
        <w:t xml:space="preserve">na oběžném kole. V tomto případě zákazník ušetřil na </w:t>
      </w:r>
      <w:r w:rsidR="00EB6899">
        <w:t>vyvažování, které</w:t>
      </w:r>
      <w:r w:rsidR="00DF32E6">
        <w:t xml:space="preserve"> by v tomto případě bylo zbytečné a zároveň si prodloužil životnost ložisek stejně jako v případě prvním.</w:t>
      </w:r>
    </w:p>
    <w:p w:rsidR="00DB0832" w:rsidRDefault="00DB0832"/>
    <w:p w:rsidR="00DB0832" w:rsidRDefault="00DB0832">
      <w:r>
        <w:rPr>
          <w:noProof/>
          <w:lang w:eastAsia="cs-CZ"/>
        </w:rPr>
        <w:drawing>
          <wp:inline distT="0" distB="0" distL="0" distR="0">
            <wp:extent cx="3794760" cy="5057586"/>
            <wp:effectExtent l="0" t="0" r="0" b="0"/>
            <wp:docPr id="2" name="Obrázek 2" descr="H:\Esos\Technická diagnostika\Úsek Vibrodiagnostika\Zákazníci\Hyundai Transys\Foto\Vent 2 deodor\IMG_20170803_08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sos\Technická diagnostika\Úsek Vibrodiagnostika\Zákazníci\Hyundai Transys\Foto\Vent 2 deodor\IMG_20170803_081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514" cy="50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73" w:rsidRDefault="00DB0832" w:rsidP="00E37B73">
      <w:r>
        <w:t xml:space="preserve">Na snímku viditelné nálepy </w:t>
      </w:r>
      <w:r w:rsidR="00EB6899">
        <w:t>materiálu, který</w:t>
      </w:r>
      <w:r>
        <w:t xml:space="preserve"> způsobil </w:t>
      </w:r>
      <w:proofErr w:type="spellStart"/>
      <w:r>
        <w:t>nev</w:t>
      </w:r>
      <w:r w:rsidR="007F6ECD">
        <w:t>ývahu</w:t>
      </w:r>
      <w:proofErr w:type="spellEnd"/>
      <w:r>
        <w:t xml:space="preserve"> ventilátoru.</w:t>
      </w:r>
    </w:p>
    <w:p w:rsidR="00E37B73" w:rsidRPr="00C519E0" w:rsidRDefault="00E37B73" w:rsidP="00E37B73">
      <w:pPr>
        <w:rPr>
          <w:b/>
        </w:rPr>
      </w:pPr>
      <w:r>
        <w:rPr>
          <w:b/>
        </w:rPr>
        <w:lastRenderedPageBreak/>
        <w:t xml:space="preserve">Příklad 3 odstranění </w:t>
      </w:r>
      <w:proofErr w:type="spellStart"/>
      <w:r>
        <w:rPr>
          <w:b/>
        </w:rPr>
        <w:t>nevývahy</w:t>
      </w:r>
      <w:proofErr w:type="spellEnd"/>
      <w:r>
        <w:rPr>
          <w:b/>
        </w:rPr>
        <w:t xml:space="preserve"> pařezové frézy způsobené technologií provozu</w:t>
      </w:r>
    </w:p>
    <w:p w:rsidR="00E37B73" w:rsidRPr="00071C33" w:rsidRDefault="00E37B73" w:rsidP="00E37B73">
      <w:r>
        <w:t>Zákazník, který renovuje pařezové frézy objednává automaticky po ESOS Ostrava, s.r.</w:t>
      </w:r>
      <w:proofErr w:type="gramStart"/>
      <w:r>
        <w:t>o.  zjištění</w:t>
      </w:r>
      <w:proofErr w:type="gramEnd"/>
      <w:r>
        <w:t xml:space="preserve"> stavu ložisek po montáži a vyvážení rotoru. Renovace spočívá v opravě bubnu navařování po otěru od </w:t>
      </w:r>
      <w:proofErr w:type="gramStart"/>
      <w:r>
        <w:t>zeminy a  opravuje</w:t>
      </w:r>
      <w:proofErr w:type="gramEnd"/>
      <w:r>
        <w:t xml:space="preserve"> se také zubové uložení.  Dochází tedy ke změně hmotnosti bubnu v určitých rovinách. Běžně se u vyvažování těchto rotorů setkáváme s </w:t>
      </w:r>
      <w:proofErr w:type="spellStart"/>
      <w:r>
        <w:t>nevývahou</w:t>
      </w:r>
      <w:proofErr w:type="spellEnd"/>
      <w:r>
        <w:t xml:space="preserve"> do 60 mm/s. Po </w:t>
      </w:r>
      <w:proofErr w:type="spellStart"/>
      <w:r>
        <w:t>dvourovinném</w:t>
      </w:r>
      <w:proofErr w:type="spellEnd"/>
      <w:r>
        <w:t xml:space="preserve"> vyvážení se dostaneme pod 5 mm/s.</w:t>
      </w:r>
    </w:p>
    <w:p w:rsidR="00E37B73" w:rsidRPr="00C04CA9" w:rsidRDefault="00E37B73" w:rsidP="00E37B73">
      <w:pPr>
        <w:rPr>
          <w:rFonts w:ascii="Arial" w:hAnsi="Arial" w:cs="Arial"/>
          <w:b/>
          <w:sz w:val="20"/>
          <w:szCs w:val="20"/>
        </w:rPr>
      </w:pPr>
      <w:r w:rsidRPr="00C04CA9">
        <w:rPr>
          <w:rFonts w:ascii="Arial" w:hAnsi="Arial" w:cs="Arial"/>
          <w:b/>
          <w:sz w:val="20"/>
          <w:szCs w:val="20"/>
        </w:rPr>
        <w:t>Před vyvážením.</w:t>
      </w:r>
    </w:p>
    <w:tbl>
      <w:tblPr>
        <w:tblW w:w="8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3967"/>
      </w:tblGrid>
      <w:tr w:rsidR="00E37B73" w:rsidRPr="0040566D" w:rsidTr="00071C33">
        <w:trPr>
          <w:gridAfter w:val="1"/>
          <w:wAfter w:w="3967" w:type="dxa"/>
          <w:cantSplit/>
          <w:trHeight w:val="14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7B73" w:rsidRPr="0040566D" w:rsidRDefault="00E37B73" w:rsidP="00F57F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566D">
              <w:rPr>
                <w:rFonts w:ascii="Arial" w:hAnsi="Arial" w:cs="Arial"/>
                <w:b/>
                <w:iCs/>
                <w:sz w:val="20"/>
                <w:szCs w:val="20"/>
              </w:rPr>
              <w:t>Fréza</w:t>
            </w:r>
          </w:p>
        </w:tc>
      </w:tr>
      <w:tr w:rsidR="00E37B73" w:rsidTr="00071C33">
        <w:trPr>
          <w:cantSplit/>
          <w:trHeight w:val="31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7B73" w:rsidRPr="0040566D" w:rsidRDefault="00E37B73" w:rsidP="00F57F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566D">
              <w:rPr>
                <w:rFonts w:ascii="Arial" w:hAnsi="Arial" w:cs="Arial"/>
                <w:b/>
                <w:iCs/>
                <w:sz w:val="20"/>
                <w:szCs w:val="20"/>
              </w:rPr>
              <w:t>měřící bod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7B73" w:rsidRPr="0040566D" w:rsidRDefault="00E37B73" w:rsidP="00F57F18">
            <w:pPr>
              <w:pStyle w:val="Nadpis8"/>
              <w:spacing w:before="120"/>
              <w:rPr>
                <w:rFonts w:cs="Arial"/>
                <w:b w:val="0"/>
                <w:iCs/>
                <w:sz w:val="20"/>
              </w:rPr>
            </w:pPr>
            <w:r w:rsidRPr="0040566D">
              <w:rPr>
                <w:rFonts w:cs="Arial"/>
                <w:b w:val="0"/>
                <w:iCs/>
                <w:sz w:val="20"/>
              </w:rPr>
              <w:t>Vibrace ČSN ISO 1940-1</w:t>
            </w:r>
          </w:p>
        </w:tc>
      </w:tr>
      <w:tr w:rsidR="00E37B73" w:rsidTr="00071C33">
        <w:trPr>
          <w:cantSplit/>
          <w:trHeight w:val="32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7B73" w:rsidRPr="0040566D" w:rsidRDefault="00E37B73" w:rsidP="00F57F18">
            <w:pPr>
              <w:tabs>
                <w:tab w:val="left" w:pos="567"/>
                <w:tab w:val="left" w:pos="3061"/>
                <w:tab w:val="left" w:pos="3855"/>
                <w:tab w:val="left" w:pos="4876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0566D">
              <w:rPr>
                <w:rFonts w:ascii="Arial" w:hAnsi="Arial" w:cs="Arial"/>
                <w:iCs/>
                <w:sz w:val="20"/>
                <w:szCs w:val="20"/>
              </w:rPr>
              <w:t>L1 -  ložiskový domek 1 (pravá strana)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E37B73" w:rsidRPr="0040566D" w:rsidRDefault="00E37B73" w:rsidP="00F57F18">
            <w:pPr>
              <w:pStyle w:val="Nadpis5"/>
              <w:rPr>
                <w:rFonts w:cs="Arial"/>
                <w:b/>
                <w:bCs/>
                <w:iCs/>
                <w:sz w:val="20"/>
              </w:rPr>
            </w:pPr>
            <w:r w:rsidRPr="0040566D">
              <w:rPr>
                <w:rFonts w:cs="Arial"/>
                <w:b/>
                <w:bCs/>
                <w:iCs/>
                <w:sz w:val="20"/>
              </w:rPr>
              <w:t>havarijní 55 mm/s</w:t>
            </w:r>
          </w:p>
        </w:tc>
      </w:tr>
      <w:tr w:rsidR="00E37B73" w:rsidTr="00071C33">
        <w:trPr>
          <w:cantSplit/>
          <w:trHeight w:val="1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7B73" w:rsidRPr="0040566D" w:rsidRDefault="00E37B73" w:rsidP="00F57F18">
            <w:pPr>
              <w:tabs>
                <w:tab w:val="left" w:pos="567"/>
                <w:tab w:val="left" w:pos="3061"/>
                <w:tab w:val="left" w:pos="3855"/>
                <w:tab w:val="left" w:pos="4876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0566D">
              <w:rPr>
                <w:rFonts w:ascii="Arial" w:hAnsi="Arial" w:cs="Arial"/>
                <w:iCs/>
                <w:sz w:val="20"/>
                <w:szCs w:val="20"/>
              </w:rPr>
              <w:t>L2 -  ložiskový domek 2 (levá strana)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E37B73" w:rsidRPr="0040566D" w:rsidRDefault="00E37B73" w:rsidP="00F57F18">
            <w:pPr>
              <w:pStyle w:val="Nadpis5"/>
              <w:rPr>
                <w:rFonts w:cs="Arial"/>
                <w:b/>
                <w:bCs/>
                <w:iCs/>
                <w:sz w:val="20"/>
              </w:rPr>
            </w:pPr>
            <w:r w:rsidRPr="0040566D">
              <w:rPr>
                <w:rFonts w:cs="Arial"/>
                <w:b/>
                <w:bCs/>
                <w:iCs/>
                <w:sz w:val="20"/>
              </w:rPr>
              <w:t>havarijní 60 mm/s</w:t>
            </w:r>
          </w:p>
        </w:tc>
      </w:tr>
    </w:tbl>
    <w:p w:rsidR="00E37B73" w:rsidRDefault="00E37B73" w:rsidP="00071C33">
      <w:pPr>
        <w:pStyle w:val="Zkladntex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Celkové stav hodnot rychlosti vibraci před vyvážením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</w:p>
    <w:p w:rsidR="00071C33" w:rsidRPr="00071C33" w:rsidRDefault="00071C33" w:rsidP="00071C33">
      <w:pPr>
        <w:pStyle w:val="Zkladntext"/>
        <w:jc w:val="both"/>
        <w:rPr>
          <w:rFonts w:ascii="Arial" w:hAnsi="Arial" w:cs="Arial"/>
          <w:bCs/>
          <w:sz w:val="20"/>
        </w:rPr>
      </w:pPr>
    </w:p>
    <w:p w:rsidR="00E37B73" w:rsidRPr="00C04CA9" w:rsidRDefault="00E37B73" w:rsidP="00E37B73">
      <w:pPr>
        <w:rPr>
          <w:rFonts w:ascii="Arial" w:hAnsi="Arial" w:cs="Arial"/>
          <w:b/>
          <w:sz w:val="20"/>
          <w:szCs w:val="20"/>
        </w:rPr>
      </w:pPr>
      <w:r w:rsidRPr="00C04CA9">
        <w:rPr>
          <w:rFonts w:ascii="Arial" w:hAnsi="Arial" w:cs="Arial"/>
          <w:b/>
          <w:sz w:val="20"/>
          <w:szCs w:val="20"/>
        </w:rPr>
        <w:t>Po vyvážení.</w:t>
      </w:r>
    </w:p>
    <w:tbl>
      <w:tblPr>
        <w:tblW w:w="8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  <w:gridCol w:w="3997"/>
      </w:tblGrid>
      <w:tr w:rsidR="00E37B73" w:rsidRPr="0040566D" w:rsidTr="00071C33">
        <w:trPr>
          <w:gridAfter w:val="1"/>
          <w:wAfter w:w="3997" w:type="dxa"/>
          <w:cantSplit/>
          <w:trHeight w:val="317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7B73" w:rsidRPr="0040566D" w:rsidRDefault="00E37B73" w:rsidP="00F57F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566D">
              <w:rPr>
                <w:rFonts w:ascii="Arial" w:hAnsi="Arial" w:cs="Arial"/>
                <w:b/>
                <w:iCs/>
                <w:sz w:val="20"/>
                <w:szCs w:val="20"/>
              </w:rPr>
              <w:t>Fréza</w:t>
            </w:r>
          </w:p>
        </w:tc>
      </w:tr>
      <w:tr w:rsidR="00E37B73" w:rsidTr="00071C33">
        <w:trPr>
          <w:cantSplit/>
          <w:trHeight w:val="317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7B73" w:rsidRPr="0040566D" w:rsidRDefault="00E37B73" w:rsidP="00F57F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566D">
              <w:rPr>
                <w:rFonts w:ascii="Arial" w:hAnsi="Arial" w:cs="Arial"/>
                <w:b/>
                <w:iCs/>
                <w:sz w:val="20"/>
                <w:szCs w:val="20"/>
              </w:rPr>
              <w:t>měřící bod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7B73" w:rsidRPr="00385341" w:rsidRDefault="00E37B73" w:rsidP="00F57F18">
            <w:pPr>
              <w:pStyle w:val="Nadpis8"/>
              <w:spacing w:before="120"/>
              <w:rPr>
                <w:rFonts w:cs="Arial"/>
                <w:b w:val="0"/>
                <w:iCs/>
                <w:sz w:val="20"/>
              </w:rPr>
            </w:pPr>
            <w:r w:rsidRPr="00385341">
              <w:rPr>
                <w:rFonts w:cs="Arial"/>
                <w:b w:val="0"/>
                <w:iCs/>
                <w:sz w:val="20"/>
              </w:rPr>
              <w:t>Vibrace ČSN ISO 1940-1</w:t>
            </w:r>
          </w:p>
        </w:tc>
      </w:tr>
      <w:tr w:rsidR="00E37B73" w:rsidTr="00071C33">
        <w:trPr>
          <w:cantSplit/>
          <w:trHeight w:val="224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7B73" w:rsidRPr="0040566D" w:rsidRDefault="00E37B73" w:rsidP="00F57F18">
            <w:pPr>
              <w:tabs>
                <w:tab w:val="left" w:pos="567"/>
                <w:tab w:val="left" w:pos="3061"/>
                <w:tab w:val="left" w:pos="3855"/>
                <w:tab w:val="left" w:pos="4876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0566D">
              <w:rPr>
                <w:rFonts w:ascii="Arial" w:hAnsi="Arial" w:cs="Arial"/>
                <w:iCs/>
                <w:sz w:val="20"/>
                <w:szCs w:val="20"/>
              </w:rPr>
              <w:t>L1 -  ložiskový domek 1 (pravá strana)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37B73" w:rsidRPr="0040566D" w:rsidRDefault="00E37B73" w:rsidP="00F57F18">
            <w:pPr>
              <w:pStyle w:val="Nadpis5"/>
              <w:rPr>
                <w:rFonts w:cs="Arial"/>
                <w:b/>
                <w:bCs/>
                <w:iCs/>
                <w:sz w:val="20"/>
              </w:rPr>
            </w:pPr>
            <w:r w:rsidRPr="0040566D">
              <w:rPr>
                <w:rFonts w:cs="Arial"/>
                <w:b/>
                <w:bCs/>
                <w:iCs/>
                <w:sz w:val="20"/>
              </w:rPr>
              <w:t>provozní 4.01 mm/s</w:t>
            </w:r>
          </w:p>
        </w:tc>
      </w:tr>
      <w:tr w:rsidR="00E37B73" w:rsidTr="00071C33">
        <w:trPr>
          <w:cantSplit/>
          <w:trHeight w:val="41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7B73" w:rsidRPr="0040566D" w:rsidRDefault="00E37B73" w:rsidP="00F57F18">
            <w:pPr>
              <w:tabs>
                <w:tab w:val="left" w:pos="567"/>
                <w:tab w:val="left" w:pos="3061"/>
                <w:tab w:val="left" w:pos="3855"/>
                <w:tab w:val="left" w:pos="4876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0566D">
              <w:rPr>
                <w:rFonts w:ascii="Arial" w:hAnsi="Arial" w:cs="Arial"/>
                <w:iCs/>
                <w:sz w:val="20"/>
                <w:szCs w:val="20"/>
              </w:rPr>
              <w:t>L2 -  ložiskový domek 2 (levá strana)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37B73" w:rsidRPr="0040566D" w:rsidRDefault="00E37B73" w:rsidP="00F57F18">
            <w:pPr>
              <w:pStyle w:val="Nadpis5"/>
              <w:rPr>
                <w:rFonts w:cs="Arial"/>
                <w:b/>
                <w:bCs/>
                <w:iCs/>
                <w:sz w:val="20"/>
              </w:rPr>
            </w:pPr>
            <w:r w:rsidRPr="0040566D">
              <w:rPr>
                <w:rFonts w:cs="Arial"/>
                <w:b/>
                <w:bCs/>
                <w:iCs/>
                <w:sz w:val="20"/>
              </w:rPr>
              <w:t>provozní 4,2 mm/s</w:t>
            </w:r>
          </w:p>
        </w:tc>
      </w:tr>
    </w:tbl>
    <w:p w:rsidR="00E37B73" w:rsidRDefault="00E37B73" w:rsidP="00E37B73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Celkové vibrace po vyvážení </w:t>
      </w:r>
      <w:r>
        <w:rPr>
          <w:rFonts w:ascii="Arial" w:hAnsi="Arial" w:cs="Arial"/>
          <w:sz w:val="20"/>
        </w:rPr>
        <w:t>klesly z havarijního stavu</w:t>
      </w:r>
      <w:r>
        <w:rPr>
          <w:rFonts w:ascii="Arial" w:hAnsi="Arial" w:cs="Arial"/>
          <w:bCs/>
          <w:sz w:val="20"/>
        </w:rPr>
        <w:t xml:space="preserve"> do </w:t>
      </w:r>
      <w:r>
        <w:rPr>
          <w:rFonts w:ascii="Arial" w:hAnsi="Arial" w:cs="Arial"/>
          <w:sz w:val="20"/>
        </w:rPr>
        <w:t xml:space="preserve">stavu provozního. </w:t>
      </w:r>
    </w:p>
    <w:p w:rsidR="00E37B73" w:rsidRPr="00071C33" w:rsidRDefault="00E37B73" w:rsidP="00071C33">
      <w:pPr>
        <w:pStyle w:val="Zkladntex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Hmotnost přidaného </w:t>
      </w:r>
      <w:r>
        <w:rPr>
          <w:rFonts w:ascii="Arial" w:hAnsi="Arial" w:cs="Arial"/>
          <w:sz w:val="20"/>
        </w:rPr>
        <w:t>závaží,</w:t>
      </w:r>
      <w:r>
        <w:rPr>
          <w:rFonts w:ascii="Arial" w:hAnsi="Arial" w:cs="Arial"/>
          <w:bCs/>
          <w:sz w:val="20"/>
        </w:rPr>
        <w:t xml:space="preserve"> (navařeno na rotor frézy) byla 6,73 </w:t>
      </w:r>
      <w:r>
        <w:rPr>
          <w:rFonts w:ascii="Arial" w:hAnsi="Arial" w:cs="Arial"/>
          <w:sz w:val="20"/>
        </w:rPr>
        <w:t>Kg.</w:t>
      </w:r>
      <w:r>
        <w:rPr>
          <w:rFonts w:ascii="Arial" w:hAnsi="Arial" w:cs="Arial"/>
          <w:bCs/>
          <w:sz w:val="20"/>
        </w:rPr>
        <w:t xml:space="preserve"> </w:t>
      </w:r>
    </w:p>
    <w:p w:rsidR="00E37B73" w:rsidRDefault="00E37B73" w:rsidP="00E37B73"/>
    <w:p w:rsidR="00E37B73" w:rsidRDefault="00071C33" w:rsidP="00E37B73">
      <w:r>
        <w:rPr>
          <w:noProof/>
          <w:lang w:eastAsia="cs-CZ"/>
        </w:rPr>
        <w:drawing>
          <wp:inline distT="0" distB="0" distL="0" distR="0" wp14:anchorId="4A2F201B" wp14:editId="0CEF8760">
            <wp:extent cx="3676650" cy="35687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8333" cy="35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7B73" w:rsidRDefault="00E37B73" w:rsidP="00071C33">
      <w:pPr>
        <w:spacing w:line="240" w:lineRule="auto"/>
        <w:contextualSpacing/>
      </w:pPr>
      <w:r>
        <w:t>Na snímku lesní pařezová fréza za traktor.</w:t>
      </w:r>
    </w:p>
    <w:p w:rsidR="00071C33" w:rsidRDefault="00071C33" w:rsidP="00071C33">
      <w:pPr>
        <w:spacing w:line="240" w:lineRule="auto"/>
        <w:contextualSpacing/>
      </w:pPr>
      <w:r>
        <w:t xml:space="preserve">Není třeba frézu nikde odvážet a je možno zjistit stav ložisek a odstranit </w:t>
      </w:r>
      <w:proofErr w:type="spellStart"/>
      <w:r>
        <w:t>nevývahu</w:t>
      </w:r>
      <w:proofErr w:type="spellEnd"/>
      <w:r>
        <w:t xml:space="preserve"> na místě. </w:t>
      </w:r>
    </w:p>
    <w:p w:rsidR="00071C33" w:rsidRDefault="00071C33" w:rsidP="00E37B73"/>
    <w:p w:rsidR="00E37B73" w:rsidRDefault="00E37B73" w:rsidP="00E37B73"/>
    <w:p w:rsidR="00E37B73" w:rsidRDefault="00E37B73" w:rsidP="00E37B73"/>
    <w:p w:rsidR="00DB0832" w:rsidRDefault="00DB0832"/>
    <w:sectPr w:rsidR="00DB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wE">
    <w:altName w:val="Arial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60C"/>
    <w:multiLevelType w:val="hybridMultilevel"/>
    <w:tmpl w:val="D33C416C"/>
    <w:lvl w:ilvl="0" w:tplc="D122A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98"/>
    <w:rsid w:val="00071C33"/>
    <w:rsid w:val="003D6B6D"/>
    <w:rsid w:val="003D6FAA"/>
    <w:rsid w:val="0069774B"/>
    <w:rsid w:val="00747946"/>
    <w:rsid w:val="00775D77"/>
    <w:rsid w:val="007F6ECD"/>
    <w:rsid w:val="00877C98"/>
    <w:rsid w:val="008A7839"/>
    <w:rsid w:val="00A271A8"/>
    <w:rsid w:val="00C519E0"/>
    <w:rsid w:val="00CF25F7"/>
    <w:rsid w:val="00D058AC"/>
    <w:rsid w:val="00DB0832"/>
    <w:rsid w:val="00DF32E6"/>
    <w:rsid w:val="00E37B73"/>
    <w:rsid w:val="00E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0352-75AA-4D82-A3D0-6D3FBA78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775D77"/>
    <w:pPr>
      <w:keepNext/>
      <w:tabs>
        <w:tab w:val="left" w:pos="567"/>
        <w:tab w:val="left" w:pos="3061"/>
        <w:tab w:val="left" w:pos="3855"/>
        <w:tab w:val="left" w:pos="4876"/>
      </w:tabs>
      <w:spacing w:after="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775D77"/>
    <w:pPr>
      <w:keepNext/>
      <w:tabs>
        <w:tab w:val="left" w:pos="567"/>
        <w:tab w:val="left" w:pos="3061"/>
        <w:tab w:val="left" w:pos="3855"/>
        <w:tab w:val="left" w:pos="4876"/>
      </w:tabs>
      <w:spacing w:after="0" w:line="240" w:lineRule="auto"/>
      <w:jc w:val="center"/>
      <w:outlineLvl w:val="7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877C9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877C98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877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5Char">
    <w:name w:val="Nadpis 5 Char"/>
    <w:basedOn w:val="Standardnpsmoodstavce"/>
    <w:link w:val="Nadpis5"/>
    <w:rsid w:val="00775D7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775D77"/>
    <w:rPr>
      <w:rFonts w:ascii="Arial" w:eastAsia="Times New Roman" w:hAnsi="Arial" w:cs="Times New Roman"/>
      <w:b/>
      <w:szCs w:val="20"/>
      <w:lang w:val="x-none" w:eastAsia="x-none"/>
    </w:rPr>
  </w:style>
  <w:style w:type="paragraph" w:styleId="Bezmezer">
    <w:name w:val="No Spacing"/>
    <w:uiPriority w:val="1"/>
    <w:qFormat/>
    <w:rsid w:val="00C519E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6FAA"/>
    <w:pPr>
      <w:ind w:left="720"/>
      <w:contextualSpacing/>
    </w:pPr>
  </w:style>
  <w:style w:type="paragraph" w:styleId="Zkladntext">
    <w:name w:val="Body Text"/>
    <w:aliases w:val=" Char Char Char Char Char, Char Char Char, Char Char, Char Char Char Char Char Char, Char Char Char Char, Char"/>
    <w:basedOn w:val="Normln"/>
    <w:link w:val="ZkladntextChar"/>
    <w:rsid w:val="00E37B73"/>
    <w:pPr>
      <w:spacing w:after="0" w:line="240" w:lineRule="auto"/>
    </w:pPr>
    <w:rPr>
      <w:rFonts w:ascii="HelveticaNewE" w:eastAsia="Times New Roman" w:hAnsi="HelveticaNewE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 Char Char Char Char Char Char1, Char Char Char Char1, Char Char Char1, Char Char Char Char Char Char Char, Char Char Char Char Char1, Char Char1"/>
    <w:basedOn w:val="Standardnpsmoodstavce"/>
    <w:link w:val="Zkladntext"/>
    <w:rsid w:val="00E37B73"/>
    <w:rPr>
      <w:rFonts w:ascii="HelveticaNewE" w:eastAsia="Times New Roman" w:hAnsi="HelveticaNewE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Lukáš Němčík</dc:creator>
  <cp:keywords/>
  <dc:description/>
  <cp:lastModifiedBy>Petr Lysák</cp:lastModifiedBy>
  <cp:revision>3</cp:revision>
  <dcterms:created xsi:type="dcterms:W3CDTF">2020-09-16T06:19:00Z</dcterms:created>
  <dcterms:modified xsi:type="dcterms:W3CDTF">2020-09-16T06:24:00Z</dcterms:modified>
</cp:coreProperties>
</file>